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a magician appears and tames the lions. She then asks the boys for their story, and explains who she is.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ubi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 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>t, 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ederun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et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t, ad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baculum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tandem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ego magn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incantat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rix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sum, et nomen mihi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est... Ella! cur in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estis, parv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?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cur cum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Maximus 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tac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Huel tandem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primum,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s, et cur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oppugnant?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Huel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territus, sed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prope mane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nt.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Ella laet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incantatr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ix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sum, itaque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sunt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oppugn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oppugnant;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considite!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considunt.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baculum, -i, n.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cane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</w:t>
      </w:r>
      <w:r>
        <w:rPr>
          <w:rFonts w:ascii="Helvetica"/>
          <w:b w:val="0"/>
          <w:bCs w:val="0"/>
          <w:sz w:val="24"/>
          <w:szCs w:val="24"/>
          <w:rtl w:val="0"/>
          <w:lang w:val="pt-PT"/>
        </w:rPr>
        <w:t>Maxim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D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